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ECO-SEAROUTES Linee guida per la valutazione degli stakeholders</w:t>
      </w:r>
    </w:p>
    <w:p w:rsidR="00000000" w:rsidDel="00000000" w:rsidP="00000000" w:rsidRDefault="00000000" w:rsidRPr="00000000" w14:paraId="00000002">
      <w:pPr>
        <w:pStyle w:val="Heading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1.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Obiettivo</w:t>
      </w:r>
      <w:r w:rsidDel="00000000" w:rsidR="00000000" w:rsidRPr="00000000">
        <w:rPr>
          <w:rFonts w:ascii="Arial" w:cs="Arial" w:eastAsia="Arial" w:hAnsi="Arial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Le presenti linee guida definiscono il processo e i criteri per la valutazione delle candidature degli stakeholder al progetto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ECO-SEAROUTES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il Puglia. Esse garantiscono una selezione trasparente, equa e coerente, in linea con i principi di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Interreg Euro-MED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.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2.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Eleggibilità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 candidati devono:</w:t>
        <w:br w:type="textWrapping"/>
        <w:t xml:space="preserve">• Avere una rilevanza diretta con l’area pilota di progetto.</w:t>
        <w:br w:type="textWrapping"/>
        <w:t xml:space="preserve">• Operare in ambiti pertinenti al turismo costiero e marittimo sostenibile, quali:</w:t>
        <w:br w:type="textWrapping"/>
        <w:t xml:space="preserve">o Gestione portuale, turismo e politiche ambientali</w:t>
        <w:br w:type="textWrapping"/>
        <w:t xml:space="preserve">o Patrimonio culturale o sviluppo delle comunità locali</w:t>
        <w:br w:type="textWrapping"/>
        <w:t xml:space="preserve">o Ricerca, università o centri di innovazione nelle scienze marine, nel turismo o nella sostenibilità</w:t>
        <w:br w:type="textWrapping"/>
        <w:t xml:space="preserve">o Imprese di eco-turismo, agricoltura/prodotti locali, ospitalità, gastronomia, mobilità sostenibile o servizi marittimi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3.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Processo di Valutazione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before="280"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Screening iniziale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 le candidature vengono verificate per completezza e requisiti di ammissibilità di base.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before="0"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Attribuzione del punteggio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 le candidature ammissibili vengono valutate secondo criteri ponderati (vedi Sezione 4).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before="0"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Chiarimenti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 se necessario, i candidati possono essere contattati per fornire informazioni aggiuntive.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before="0"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Selezione finale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 garantisce una rappresentanza equilibrata di settori, competenze e distribuzione geografica.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280" w:before="0"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Notifica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 i candidati selezionati vengono informati via email.</w:t>
      </w:r>
    </w:p>
    <w:p w:rsidR="00000000" w:rsidDel="00000000" w:rsidP="00000000" w:rsidRDefault="00000000" w:rsidRPr="00000000" w14:paraId="0000000B">
      <w:pPr>
        <w:pStyle w:val="Heading2"/>
        <w:rPr>
          <w:rFonts w:ascii="Arial" w:cs="Arial" w:eastAsia="Arial" w:hAnsi="Arial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4.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Criteri di selezione</w:t>
      </w:r>
      <w:r w:rsidDel="00000000" w:rsidR="00000000" w:rsidRPr="00000000">
        <w:rPr>
          <w:rtl w:val="0"/>
        </w:rPr>
      </w:r>
    </w:p>
    <w:tbl>
      <w:tblPr>
        <w:tblStyle w:val="Table1"/>
        <w:tblW w:w="960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32"/>
        <w:gridCol w:w="4767"/>
        <w:gridCol w:w="2208"/>
        <w:tblGridChange w:id="0">
          <w:tblGrid>
            <w:gridCol w:w="2632"/>
            <w:gridCol w:w="4767"/>
            <w:gridCol w:w="2208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Criterio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Descrizione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punteggio (0–5)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Rilevanza dell’organizzazione rispetto agli obiettivi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Allineamento delle attività dell’organizzazione con gli obiettivi del progetto e il contesto locale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 = non rilevante, 5 = molto rilevante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Conoscenza del contesto locale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Conoscenza dichiarata delle problematiche ambientali, turistiche, culturali e di gestione costiera con particolare riferimento all’area pilota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 = Nessuna, 5 = Eccellente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Motivazione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Interesse e impegno a partecipare attivamente ai processi di co-creazione dichiarati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 = nessuna, 5 = forte motivazione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Capacità di contribuire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Capacità dichiarata acollaborare, partecipare ai workshop e fornire contributi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 = bassa, 5 = alta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Diversità e rappresentatività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Contributo alla costruzione di un network equilibrato (settoriale, di genere, geografico)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 = bassa, 5 = alta</w:t>
            </w:r>
          </w:p>
        </w:tc>
      </w:tr>
    </w:tbl>
    <w:p w:rsidR="00000000" w:rsidDel="00000000" w:rsidP="00000000" w:rsidRDefault="00000000" w:rsidRPr="00000000" w14:paraId="0000001F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Note: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• Punteggio massimo totale = 30.</w:t>
        <w:br w:type="textWrapping"/>
        <w:t xml:space="preserve">• Soglia minima per la selezione = 18 (flessibile in base al numero complessivo di candidature).</w:t>
        <w:br w:type="textWrapping"/>
        <w:t xml:space="preserve">• I punteggi delle candidature saranno condivisi con il partenariato per garantire equità e rigore metodologico.</w:t>
        <w:br w:type="textWrapping"/>
        <w:t xml:space="preserve">• La scala di valutazione 0–5 consente una valutazione coerente, documentata e responsabile dell’intero processo, pienamente in linea con i principi di Interreg Euro-MED. 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5.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Trasparenza e Conformità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Tutte le valutazioni seguono le regole di Interreg Euro-MED in materia di trasparenza, equità e non discriminazione.</w:t>
        <w:br w:type="textWrapping"/>
        <w:t xml:space="preserve">• Eventuali conflitti di interesse devono essere dichiarati dai valutatori e gestiti secondo le linee guida Interreg.</w:t>
        <w:br w:type="textWrapping"/>
        <w:t xml:space="preserve">• Tutti i dati personali e organizzativi saranno trattati in conformità al GDPR, utilizzati esclusivamente per la valutazione degli stakeholder e la comunicazione di progetto, archiviati in modo sicuro e accessibili solo a personale autorizzato.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6.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Esito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280" w:before="28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• Gli stakeholder selezionati (minimo 10) saranno invitati a partecipare a workshop, sessioni di co-progettazione e attività pilota.</w:t>
        <w:br w:type="textWrapping"/>
        <w:t xml:space="preserve">• I candidati non selezionati riceveranno una comunicazione cortese e potranno essere considerati per future opportunità di coinvolgimento.</w:t>
      </w:r>
    </w:p>
    <w:p w:rsidR="00000000" w:rsidDel="00000000" w:rsidP="00000000" w:rsidRDefault="00000000" w:rsidRPr="00000000" w14:paraId="00000025">
      <w:pPr>
        <w:pStyle w:val="Heading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40" w:top="1440" w:left="1440" w:right="1183" w:header="284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2"/>
      <w:tblW w:w="6660.0" w:type="dxa"/>
      <w:jc w:val="left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3117"/>
      <w:gridCol w:w="3543"/>
      <w:tblGridChange w:id="0">
        <w:tblGrid>
          <w:gridCol w:w="3117"/>
          <w:gridCol w:w="3543"/>
        </w:tblGrid>
      </w:tblGridChange>
    </w:tblGrid>
    <w:tr>
      <w:trPr>
        <w:cantSplit w:val="0"/>
        <w:tblHeader w:val="0"/>
      </w:trPr>
      <w:tc>
        <w:tcPr>
          <w:gridSpan w:val="2"/>
          <w:vAlign w:val="center"/>
        </w:tcPr>
        <w:p w:rsidR="00000000" w:rsidDel="00000000" w:rsidP="00000000" w:rsidRDefault="00000000" w:rsidRPr="00000000" w14:paraId="00000028">
          <w:pPr>
            <w:ind w:left="-105" w:firstLine="0"/>
            <w:rPr>
              <w:b w:val="1"/>
              <w:bCs w:val="1"/>
              <w:color w:val="0f4c81"/>
              <w:sz w:val="18"/>
              <w:szCs w:val="18"/>
            </w:rPr>
          </w:pPr>
          <w:r w:rsidDel="00000000" w:rsidR="00000000" w:rsidRPr="00000000">
            <w:rPr>
              <w:b w:val="1"/>
              <w:bCs w:val="1"/>
              <w:color w:val="0f4c81"/>
              <w:sz w:val="18"/>
              <w:szCs w:val="18"/>
              <w:rtl w:val="0"/>
            </w:rPr>
            <w:t xml:space="preserve">CMMI – Cyprus Marine &amp; Maritime Institute</w:t>
          </w:r>
        </w:p>
      </w:tc>
    </w:tr>
    <w:tr>
      <w:trPr>
        <w:cantSplit w:val="0"/>
        <w:tblHeader w:val="0"/>
      </w:trPr>
      <w:tc>
        <w:tcPr>
          <w:vAlign w:val="center"/>
        </w:tcPr>
        <w:p w:rsidR="00000000" w:rsidDel="00000000" w:rsidP="00000000" w:rsidRDefault="00000000" w:rsidRPr="00000000" w14:paraId="0000002A">
          <w:pPr>
            <w:ind w:left="-105" w:firstLine="0"/>
            <w:rPr>
              <w:color w:val="0f4c81"/>
              <w:sz w:val="18"/>
              <w:szCs w:val="18"/>
            </w:rPr>
          </w:pPr>
          <w:r w:rsidDel="00000000" w:rsidR="00000000" w:rsidRPr="00000000">
            <w:rPr>
              <w:color w:val="0f4c81"/>
              <w:sz w:val="18"/>
              <w:szCs w:val="18"/>
              <w:rtl w:val="0"/>
            </w:rPr>
            <w:t xml:space="preserve">T: +357 24506100</w:t>
          </w:r>
        </w:p>
        <w:p w:rsidR="00000000" w:rsidDel="00000000" w:rsidP="00000000" w:rsidRDefault="00000000" w:rsidRPr="00000000" w14:paraId="0000002B">
          <w:pPr>
            <w:ind w:left="-105" w:firstLine="0"/>
            <w:rPr>
              <w:color w:val="0f4c81"/>
              <w:sz w:val="18"/>
              <w:szCs w:val="18"/>
            </w:rPr>
          </w:pPr>
          <w:r w:rsidDel="00000000" w:rsidR="00000000" w:rsidRPr="00000000">
            <w:rPr>
              <w:color w:val="0f4c81"/>
              <w:sz w:val="18"/>
              <w:szCs w:val="18"/>
              <w:rtl w:val="0"/>
            </w:rPr>
            <w:t xml:space="preserve">W: </w:t>
          </w:r>
          <w:hyperlink r:id="rId1">
            <w:r w:rsidDel="00000000" w:rsidR="00000000" w:rsidRPr="00000000">
              <w:rPr>
                <w:color w:val="0f4c81"/>
                <w:sz w:val="18"/>
                <w:szCs w:val="18"/>
                <w:u w:val="single"/>
                <w:rtl w:val="0"/>
              </w:rPr>
              <w:t xml:space="preserve">www.cmmi.blue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C">
          <w:pPr>
            <w:ind w:left="-105" w:firstLine="0"/>
            <w:rPr>
              <w:color w:val="0f4c81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2D">
          <w:pPr>
            <w:ind w:left="-105" w:firstLine="0"/>
            <w:rPr>
              <w:color w:val="0f4c81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blHeader w:val="0"/>
      </w:trPr>
      <w:tc>
        <w:tcPr>
          <w:gridSpan w:val="2"/>
          <w:vAlign w:val="center"/>
        </w:tcPr>
        <w:p w:rsidR="00000000" w:rsidDel="00000000" w:rsidP="00000000" w:rsidRDefault="00000000" w:rsidRPr="00000000" w14:paraId="0000002E">
          <w:pPr>
            <w:ind w:left="-105" w:firstLine="0"/>
            <w:rPr>
              <w:color w:val="0f4c81"/>
              <w:sz w:val="18"/>
              <w:szCs w:val="18"/>
            </w:rPr>
          </w:pPr>
          <w:r w:rsidDel="00000000" w:rsidR="00000000" w:rsidRPr="00000000">
            <w:rPr>
              <w:color w:val="0f4c81"/>
              <w:sz w:val="18"/>
              <w:szCs w:val="18"/>
              <w:rtl w:val="0"/>
            </w:rPr>
            <w:t xml:space="preserve">A: CMMI House, Vasileos Pavlou Square, 6023 Larnaca, Cyprus </w:t>
          </w:r>
        </w:p>
      </w:tc>
    </w:tr>
  </w:tbl>
  <w:p w:rsidR="00000000" w:rsidDel="00000000" w:rsidP="00000000" w:rsidRDefault="00000000" w:rsidRPr="00000000" w14:paraId="0000003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-142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1404106" cy="885668"/>
          <wp:effectExtent b="0" l="0" r="0" t="0"/>
          <wp:docPr id="172882170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04106" cy="88566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</w:t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3656842" cy="462819"/>
          <wp:effectExtent b="0" l="0" r="0" t="0"/>
          <wp:docPr descr="A blue and white text on a black background&#10;&#10;AI-generated content may be incorrect." id="172882171" name="image1.png"/>
          <a:graphic>
            <a:graphicData uri="http://schemas.openxmlformats.org/drawingml/2006/picture">
              <pic:pic>
                <pic:nvPicPr>
                  <pic:cNvPr descr="A blue and white text on a black background&#10;&#10;AI-generated content may be incorrect."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656842" cy="46281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="278.00000000000006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1f3863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Carpredefinitoparagrafo" w:default="1">
    <w:name w:val="Default Paragraph Font"/>
    <w:uiPriority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link w:val="IntestazioneCarattere"/>
    <w:uiPriority w:val="99"/>
    <w:unhideWhenUsed w:val="1"/>
    <w:rsid w:val="00952C4F"/>
    <w:pPr>
      <w:tabs>
        <w:tab w:val="center" w:pos="4680"/>
        <w:tab w:val="right" w:pos="9360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952C4F"/>
  </w:style>
  <w:style w:type="paragraph" w:styleId="Pidipagina">
    <w:name w:val="footer"/>
    <w:basedOn w:val="Normale"/>
    <w:link w:val="PidipaginaCarattere"/>
    <w:uiPriority w:val="99"/>
    <w:unhideWhenUsed w:val="1"/>
    <w:rsid w:val="00952C4F"/>
    <w:pPr>
      <w:tabs>
        <w:tab w:val="center" w:pos="4680"/>
        <w:tab w:val="right" w:pos="9360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952C4F"/>
  </w:style>
  <w:style w:type="paragraph" w:styleId="Nessunaspaziatura">
    <w:name w:val="No Spacing"/>
    <w:uiPriority w:val="1"/>
    <w:qFormat w:val="1"/>
    <w:rsid w:val="00E97135"/>
    <w:pPr>
      <w:spacing w:after="0" w:line="240" w:lineRule="auto"/>
    </w:pPr>
  </w:style>
  <w:style w:type="character" w:styleId="Enfasigrassetto">
    <w:name w:val="Strong"/>
    <w:basedOn w:val="Carpredefinitoparagrafo"/>
    <w:uiPriority w:val="22"/>
    <w:qFormat w:val="1"/>
    <w:rsid w:val="00CF657D"/>
    <w:rPr>
      <w:b w:val="1"/>
      <w:bCs w:val="1"/>
    </w:rPr>
  </w:style>
  <w:style w:type="paragraph" w:styleId="Paragrafoelenco">
    <w:name w:val="List Paragraph"/>
    <w:basedOn w:val="Normale"/>
    <w:uiPriority w:val="34"/>
    <w:qFormat w:val="1"/>
    <w:rsid w:val="00607865"/>
    <w:pPr>
      <w:ind w:left="720"/>
      <w:contextualSpacing w:val="1"/>
    </w:pPr>
  </w:style>
  <w:style w:type="table" w:styleId="Grigliatabella">
    <w:name w:val="Table Grid"/>
    <w:basedOn w:val="Tabellanormale"/>
    <w:uiPriority w:val="39"/>
    <w:rsid w:val="00316AE4"/>
    <w:pPr>
      <w:spacing w:after="0" w:line="240" w:lineRule="auto"/>
    </w:pPr>
    <w:rPr>
      <w:rFonts w:eastAsia="Calibri"/>
    </w:rPr>
    <w:tblPr>
      <w:tblInd w:w="0.0" w:type="nil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Collegamentoipertestuale">
    <w:name w:val="Hyperlink"/>
    <w:basedOn w:val="Carpredefinitoparagrafo"/>
    <w:uiPriority w:val="99"/>
    <w:unhideWhenUsed w:val="1"/>
    <w:rsid w:val="00316AE4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 w:val="1"/>
    <w:unhideWhenUsed w:val="1"/>
    <w:rsid w:val="00316AE4"/>
    <w:rPr>
      <w:color w:val="605e5c"/>
      <w:shd w:color="auto" w:fill="e1dfdd" w:val="clear"/>
    </w:rPr>
  </w:style>
  <w:style w:type="paragraph" w:styleId="Corpotesto">
    <w:name w:val="Body Text"/>
    <w:basedOn w:val="Normale"/>
    <w:link w:val="CorpotestoCarattere"/>
    <w:uiPriority w:val="1"/>
    <w:qFormat w:val="1"/>
    <w:rsid w:val="00C2247C"/>
    <w:pPr>
      <w:widowControl w:val="0"/>
      <w:autoSpaceDE w:val="0"/>
      <w:autoSpaceDN w:val="0"/>
      <w:spacing w:after="0" w:line="240" w:lineRule="auto"/>
    </w:pPr>
    <w:rPr>
      <w:rFonts w:ascii="Arial" w:cs="Arial" w:eastAsia="Arial" w:hAnsi="Arial"/>
      <w:sz w:val="19"/>
      <w:szCs w:val="19"/>
    </w:rPr>
  </w:style>
  <w:style w:type="character" w:styleId="CorpotestoCarattere" w:customStyle="1">
    <w:name w:val="Corpo testo Carattere"/>
    <w:basedOn w:val="Carpredefinitoparagrafo"/>
    <w:link w:val="Corpotesto"/>
    <w:uiPriority w:val="1"/>
    <w:rsid w:val="00C2247C"/>
    <w:rPr>
      <w:rFonts w:ascii="Arial" w:cs="Arial" w:eastAsia="Arial" w:hAnsi="Arial"/>
      <w:sz w:val="19"/>
      <w:szCs w:val="19"/>
    </w:rPr>
  </w:style>
  <w:style w:type="character" w:styleId="Titolo2Carattere" w:customStyle="1">
    <w:name w:val="Titolo 2 Carattere"/>
    <w:basedOn w:val="Carpredefinitoparagrafo"/>
    <w:link w:val="Titolo2"/>
    <w:uiPriority w:val="9"/>
    <w:rsid w:val="0000468E"/>
    <w:rPr>
      <w:rFonts w:asciiTheme="majorHAnsi" w:cstheme="majorBidi" w:eastAsiaTheme="majorEastAsia" w:hAnsiTheme="majorHAnsi"/>
      <w:color w:val="2f5496" w:themeColor="accent1" w:themeShade="0000BF"/>
      <w:kern w:val="2"/>
      <w:sz w:val="32"/>
      <w:szCs w:val="32"/>
      <w:lang w:val="en-GB"/>
    </w:rPr>
  </w:style>
  <w:style w:type="character" w:styleId="Rimandocommento">
    <w:name w:val="annotation reference"/>
    <w:basedOn w:val="Carpredefinitoparagrafo"/>
    <w:uiPriority w:val="99"/>
    <w:semiHidden w:val="1"/>
    <w:unhideWhenUsed w:val="1"/>
    <w:rsid w:val="0000468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 w:val="1"/>
    <w:rsid w:val="0000468E"/>
    <w:pPr>
      <w:spacing w:line="240" w:lineRule="auto"/>
    </w:pPr>
    <w:rPr>
      <w:kern w:val="2"/>
      <w:sz w:val="20"/>
      <w:szCs w:val="20"/>
      <w:lang w:val="en-GB"/>
    </w:rPr>
  </w:style>
  <w:style w:type="character" w:styleId="TestocommentoCarattere" w:customStyle="1">
    <w:name w:val="Testo commento Carattere"/>
    <w:basedOn w:val="Carpredefinitoparagrafo"/>
    <w:link w:val="Testocommento"/>
    <w:uiPriority w:val="99"/>
    <w:rsid w:val="0000468E"/>
    <w:rPr>
      <w:kern w:val="2"/>
      <w:sz w:val="20"/>
      <w:szCs w:val="20"/>
      <w:lang w:val="en-GB"/>
    </w:rPr>
  </w:style>
  <w:style w:type="character" w:styleId="Titolo3Carattere" w:customStyle="1">
    <w:name w:val="Titolo 3 Carattere"/>
    <w:basedOn w:val="Carpredefinitoparagrafo"/>
    <w:link w:val="Titolo3"/>
    <w:uiPriority w:val="9"/>
    <w:semiHidden w:val="1"/>
    <w:rsid w:val="00B33DD6"/>
    <w:rPr>
      <w:rFonts w:asciiTheme="majorHAnsi" w:cstheme="majorBidi" w:eastAsiaTheme="majorEastAsia" w:hAnsiTheme="majorHAnsi"/>
      <w:color w:val="1f3763" w:themeColor="accent1" w:themeShade="00007F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cmmi.blue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3MqHoWvrTO6pikrM24FHFRnY5kA==">CgMxLjA4AHIhMXNsQzFkT2xVbWhFd2h1UXcwZm45Tl92MExHQmYwNW1o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2025-11-27T08:19:00Z</dcterms:created>
  <dc:creator>Elias Yfantis | CMMI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0x01010093FB05647DA4484E9B10DA5A68E1CB1A</vt:lpwstr>
  </property>
  <property fmtid="{D5CDD505-2E9C-101B-9397-08002B2CF9AE}" pid="3" name="_dlc_DocIdItemGuid">
    <vt:lpwstr>d1f9c308-b5d1-4383-bc43-e5047df08412</vt:lpwstr>
  </property>
  <property fmtid="{D5CDD505-2E9C-101B-9397-08002B2CF9AE}" pid="4" name="MediaServiceImageTags">
    <vt:lpwstr/>
  </property>
  <property fmtid="{D5CDD505-2E9C-101B-9397-08002B2CF9AE}" pid="5" name="GrammarlyDocumentId">
    <vt:lpwstr>d4d7fee38fc67bc1e7ba5963977dc84d4287af1bf2e01b45fdd2ade02e64b730</vt:lpwstr>
  </property>
</Properties>
</file>